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993"/>
        </w:tabs>
        <w:suppressAutoHyphens/>
        <w:spacing w:before="120" w:after="120" w:line="240" w:lineRule="auto"/>
        <w:ind w:left="567"/>
        <w:jc w:val="right"/>
        <w:rPr>
          <w:rFonts w:ascii="Times New Roman" w:hAnsi="Times New Roman" w:eastAsia="Times New Roman" w:cs="Times New Roman"/>
          <w:sz w:val="24"/>
          <w:szCs w:val="24"/>
          <w:lang w:val="bg-BG"/>
        </w:rPr>
      </w:pPr>
      <w:r>
        <w:rPr>
          <w:rFonts w:ascii="Times New Roman" w:hAnsi="Times New Roman" w:eastAsia="Times New Roman" w:cs="Times New Roman"/>
          <w:sz w:val="24"/>
          <w:szCs w:val="24"/>
          <w:lang w:val="bg-BG"/>
        </w:rPr>
        <w:t>Приложение № 14 към т. 1, буква „н“</w:t>
      </w:r>
    </w:p>
    <w:p>
      <w:pPr>
        <w:pStyle w:val="16"/>
        <w:tabs>
          <w:tab w:val="left" w:pos="993"/>
        </w:tabs>
        <w:spacing w:before="120" w:after="120"/>
        <w:ind w:left="567" w:firstLine="0"/>
        <w:jc w:val="both"/>
        <w:rPr>
          <w:sz w:val="24"/>
          <w:szCs w:val="24"/>
          <w:lang w:val="bg-BG"/>
        </w:rPr>
      </w:pPr>
    </w:p>
    <w:p>
      <w:pPr>
        <w:pStyle w:val="16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НАЦИОНАЛНА ПРОГРАМА </w:t>
      </w:r>
    </w:p>
    <w:p>
      <w:pPr>
        <w:pStyle w:val="16"/>
        <w:tabs>
          <w:tab w:val="left" w:pos="993"/>
        </w:tabs>
        <w:spacing w:before="120" w:after="120"/>
        <w:ind w:left="567" w:firstLine="0"/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„ПРОФЕСИОНАЛНО ОБРАЗОВАНИЕ И ОБУЧЕНИЕ“</w:t>
      </w:r>
    </w:p>
    <w:p>
      <w:pPr>
        <w:pStyle w:val="16"/>
        <w:tabs>
          <w:tab w:val="left" w:pos="993"/>
        </w:tabs>
        <w:spacing w:before="120" w:after="120"/>
        <w:ind w:left="567" w:firstLine="0"/>
        <w:jc w:val="both"/>
      </w:pPr>
    </w:p>
    <w:p>
      <w:pPr>
        <w:pStyle w:val="17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ОПИСАНИЕ НА ПРОГРАМАТА 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Националната програма е разработена в съответствие 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приоритетна област 7 „Реализация в професиите на настоящето и бъдещето“ на Стратегическата рамка за развитие на образованието, обучението и ученето в Република България (2021 – 2030).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Ключови фактори за обучението по професионална подготовка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са модерната материално-техническа база и актуалното учебното съдържание, отговарящи на съвременните технологични постижения в съответния икономически отрасъл. Програмата дава възможност на държавните и общинските професионални гимназии и средни училища с професионални паралелки да подобрят образователната среда и насърчава партньорството с бизнеса при осъществяване на практическото обучение и при разработването на учебна и изпитна документация, като в процеса се включват представители на работодателите и висшите училища. Участието на бизнеса в дейностите по модернизиране на материално-техническа база и учебното съдържание ще осигури качествено професионално образование, съответстващо на потребностите на пазара на труда.  Програмата дава възможност на учениците да представят своите професионални знания, умения и компетентности, като участват в национални  състезания по професии. Състезанията се организират на принципа на широкото включване с партньорско участие на представители на браншови организации, висши училища, неправителствени организации.</w:t>
      </w:r>
    </w:p>
    <w:p>
      <w:pPr>
        <w:pStyle w:val="17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ЦЕЛИ И ОБХВАТ НА ПРОГРАМАТА</w:t>
      </w:r>
    </w:p>
    <w:p>
      <w:pPr>
        <w:pStyle w:val="3"/>
        <w:numPr>
          <w:ilvl w:val="0"/>
          <w:numId w:val="0"/>
        </w:numPr>
        <w:rPr>
          <w:rFonts w:hint="default"/>
          <w:lang w:val="bg-BG"/>
        </w:rPr>
      </w:pPr>
      <w:bookmarkStart w:id="0" w:name="bookmark3"/>
      <w:r>
        <w:t>2.1. Цели на програмата</w:t>
      </w:r>
      <w:bookmarkEnd w:id="0"/>
      <w:r>
        <w:rPr>
          <w:rFonts w:hint="default"/>
          <w:lang w:val="bg-BG"/>
        </w:rPr>
        <w:t xml:space="preserve"> : </w:t>
      </w:r>
    </w:p>
    <w:p>
      <w:pPr>
        <w:pStyle w:val="4"/>
        <w:numPr>
          <w:ilvl w:val="0"/>
          <w:numId w:val="0"/>
        </w:numPr>
        <w:rPr>
          <w:rFonts w:hint="default"/>
          <w:lang w:val="bg-BG"/>
        </w:rPr>
      </w:pPr>
      <w:r>
        <w:t>2.1.1. Осигуряване на материално-техническа база в съответствие със съвременните технологични достижения в съответния сектор и предоставяне на качествена професионална подготовка в реална работна среда в партньорство с бизнеса за подобряване на практическите умения</w:t>
      </w:r>
      <w:r>
        <w:rPr>
          <w:rFonts w:hint="default"/>
          <w:lang w:val="bg-BG"/>
        </w:rPr>
        <w:t xml:space="preserve">. </w:t>
      </w:r>
    </w:p>
    <w:p>
      <w:pPr>
        <w:pStyle w:val="4"/>
        <w:numPr>
          <w:ilvl w:val="0"/>
          <w:numId w:val="0"/>
        </w:numPr>
        <w:rPr>
          <w:rFonts w:cs="Times New Roman"/>
        </w:rPr>
      </w:pPr>
      <w:r>
        <w:rPr>
          <w:rFonts w:cs="Times New Roman"/>
        </w:rPr>
        <w:t>2.1.2. Модернизиране  на учебното и изпитното съдържание за професионално образование и обучение, отговарящо на съответния държавен образователен стандарт за придобиване на квалификация по професията.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  <w:lang w:val="bg-BG" w:eastAsia="bg-BG" w:bidi="bg-BG"/>
        </w:rPr>
      </w:pPr>
      <w:r>
        <w:rPr>
          <w:rFonts w:ascii="Times New Roman" w:hAnsi="Times New Roman" w:cs="Times New Roman"/>
          <w:sz w:val="24"/>
          <w:szCs w:val="24"/>
          <w:lang w:val="bg-BG" w:eastAsia="bg-BG" w:bidi="bg-BG"/>
        </w:rPr>
        <w:t>2.1.3. Насърчаване и популяризиране на придобитите знания, умения и компетентности чрез представянето на постиженията на учениците в състезания по професии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2.2.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Обхват на програмата: национален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. </w:t>
      </w:r>
    </w:p>
    <w:p>
      <w:pPr>
        <w:pStyle w:val="1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ПОКАЗАТЕЛИ ЗА ПОСТИГАНЕ НА ЦЕЛИТЕ</w:t>
      </w:r>
    </w:p>
    <w:p>
      <w:pPr>
        <w:pStyle w:val="17"/>
        <w:spacing w:after="0" w:line="360" w:lineRule="auto"/>
        <w:ind w:left="0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3.1.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Модернизирана образователна среда за професионално образование и обучение  в партньорство с бизнеса в не по-малко от 17 училища с професионална подготовка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Разработени и/или актуализирани типови учебни планове, учебни програми и национални изпитни програми за професионално образование и обучение: разработени 16 типови учебни планове, 15 учебни програми, 4 национални изпитни програми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3.3.     Организирани 24 национални състезания по професии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ЦЕЛЕВА ГРУПА </w:t>
      </w:r>
    </w:p>
    <w:p>
      <w:pPr>
        <w:pStyle w:val="17"/>
        <w:spacing w:after="0" w:line="360" w:lineRule="auto"/>
        <w:ind w:left="0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Ученици в професионални паралелки, учители по професионална подготовка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ОЧАКВАНИ РЕЗУЛТАТИ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5.1. Улеснен достъп до пазара на труда на младите хора 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чрез </w:t>
      </w:r>
      <w:r>
        <w:rPr>
          <w:rFonts w:ascii="Times New Roman" w:hAnsi="Times New Roman" w:cs="Times New Roman"/>
          <w:sz w:val="24"/>
          <w:szCs w:val="24"/>
          <w:lang w:val="bg-BG"/>
        </w:rPr>
        <w:t>работа с най-новото техническо оборудване в училище и работа в реални работни условия за подобряване на практическите умения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5.2. Разработени и приложени типови учебни планове, учебни програми и национални изпитни програми по действащия Списък на професиите за ПОО, съответстващи на Държавните образователни стандарти за придобиване на професионална квалификация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5.3. Представени и популяризирани професионални знания, умения и компетентности на учениците в системата на професионалното образование и обучение сред широката общественост и повишен обществен образ на професионалното образование и обучение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БЮДЖЕТ - 2 023 826 лв.</w:t>
      </w:r>
    </w:p>
    <w:tbl>
      <w:tblPr>
        <w:tblStyle w:val="7"/>
        <w:tblW w:w="5000" w:type="pct"/>
        <w:tblInd w:w="0" w:type="dxa"/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490"/>
        <w:gridCol w:w="2030"/>
      </w:tblGrid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27" w:hRule="exact"/>
        </w:trPr>
        <w:tc>
          <w:tcPr>
            <w:tcW w:w="3934" w:type="pct"/>
            <w:tcBorders>
              <w:top w:val="single" w:color="auto" w:sz="4" w:space="0"/>
              <w:left w:val="single" w:color="auto" w:sz="4" w:space="0"/>
            </w:tcBorders>
            <w:shd w:val="clear" w:color="auto" w:fill="BEBEB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Модули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Средства в лв.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27" w:hRule="exact"/>
        </w:trPr>
        <w:tc>
          <w:tcPr>
            <w:tcW w:w="39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Модул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„Модернизиране на материално-техническата база“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bg-BG" w:bidi="bg-BG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>00 000 лв.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22" w:hRule="exact"/>
        </w:trPr>
        <w:tc>
          <w:tcPr>
            <w:tcW w:w="3934" w:type="pc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Модул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„Модернизиране на учебното и изпитно съдържание“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bg-BG" w:bidi="bg-BG"/>
              </w:rPr>
              <w:t xml:space="preserve">15 700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лв.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32" w:hRule="exact"/>
        </w:trPr>
        <w:tc>
          <w:tcPr>
            <w:tcW w:w="3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Модул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„Състезания по професии“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bg-BG" w:eastAsia="bg-BG" w:bidi="bg-BG"/>
              </w:rPr>
              <w:t xml:space="preserve">   508 126 лв.</w:t>
            </w:r>
          </w:p>
        </w:tc>
      </w:tr>
      <w:tr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32" w:hRule="exact"/>
        </w:trPr>
        <w:tc>
          <w:tcPr>
            <w:tcW w:w="3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Общ размер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2 02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bg-BG" w:bidi="bg-BG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bg-BG" w:bidi="bg-BG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bg-BG" w:eastAsia="bg-BG" w:bidi="bg-BG"/>
              </w:rPr>
              <w:t>26 лв.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КАНДИДАТИ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7.1. По модул 1: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Държавни и общински професионални гимназии и средни училища с професионални паралелки, които не са получили финансиране за модернизиране на материално-техническата база по програмата в периода 2019 - 2023 година включително. 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програмата не може да участват училища, които са определени като крайни получатели на финансова помощ по Плана за възстановяване и устойчивост.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7.2. По модул 2: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Училища с професионални паралелки, които отговарят на следните условия:</w:t>
      </w:r>
    </w:p>
    <w:p>
      <w:pPr>
        <w:pStyle w:val="1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Притежават екип от учители по професионална подготовка с опит при разработването на учебна и изпитна документация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 ; </w:t>
      </w:r>
    </w:p>
    <w:p>
      <w:pPr>
        <w:pStyle w:val="1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Реализират партньорства със сродни училища, висши училища, колежи и работодатели при разработване на учебни планове, учебни програми и национални изпитни програми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 ;</w:t>
      </w:r>
    </w:p>
    <w:p>
      <w:pPr>
        <w:pStyle w:val="1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Притежават организационен опит и капацитет за разработване на учебна и изпитна документация за специалностите от професиите от минимум едно професионално направление от действащия Списък на професиите за професионално образование и обучение.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7.3. По модул 3: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Професионални гимназии и средни училища с професионални паралелки, които </w:t>
      </w:r>
      <w:r>
        <w:rPr>
          <w:rFonts w:ascii="Times New Roman" w:hAnsi="Times New Roman" w:eastAsia="Times New Roman"/>
          <w:sz w:val="24"/>
          <w:szCs w:val="24"/>
          <w:lang w:val="bg-BG" w:eastAsia="bg-BG"/>
        </w:rPr>
        <w:t>осъществяват обучение по професиите от действащия Списък на професиите за професионално образование и обучение.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СРОК НА ИЗПЪЛНЕНИЕ </w:t>
      </w:r>
    </w:p>
    <w:p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Програмата се реализира през календарната 2024 година.</w:t>
      </w:r>
    </w:p>
    <w:p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tabs>
          <w:tab w:val="left" w:pos="27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МЕХАНИЗЪМ ЗА НАБЛЮДЕНИЕ И ОТЧИТАНЕ ИЗПЪЛНЕНИЕТО НА ПРОГРАМАТА</w:t>
      </w:r>
    </w:p>
    <w:p>
      <w:pPr>
        <w:pStyle w:val="17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9.1.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реализацията на модул 1 се осъществява текущ мониторинг от МОН и регионалните управления на образованието </w:t>
      </w:r>
      <w:r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  <w:t xml:space="preserve">чрез:  тематични и текущи проверки на място, проверки на представени документи,  срещи с ученици, родители, учители и работодатели. </w:t>
      </w:r>
    </w:p>
    <w:p>
      <w:pPr>
        <w:pStyle w:val="17"/>
        <w:tabs>
          <w:tab w:val="left" w:pos="270"/>
        </w:tabs>
        <w:spacing w:after="0" w:line="360" w:lineRule="auto"/>
        <w:ind w:left="0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bg-BG" w:bidi="bg-BG"/>
        </w:rPr>
      </w:pPr>
      <w:r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  <w:t>9.2. При реализацията на модул 2 се осъществява текущ мониторинг от експертите в дирекция ПОО в МОН и училището-координатор на екипа, разработващ учебната и изпитната документация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bg-BG" w:bidi="bg-BG"/>
        </w:rPr>
        <w:t>.</w:t>
      </w:r>
    </w:p>
    <w:p>
      <w:pPr>
        <w:pStyle w:val="17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</w:pPr>
      <w:r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  <w:t>9.3. Мониторингът на изпълнението на модул 3 се осъществява текущо и с посещение на място (националните кръгове) от експертите в дирекция ПОО.</w:t>
      </w:r>
    </w:p>
    <w:p>
      <w:pPr>
        <w:pStyle w:val="17"/>
        <w:tabs>
          <w:tab w:val="left" w:pos="270"/>
        </w:tabs>
        <w:spacing w:after="0" w:line="360" w:lineRule="auto"/>
        <w:ind w:left="0"/>
        <w:jc w:val="both"/>
        <w:rPr>
          <w:rFonts w:ascii="Times New Roman" w:hAnsi="Times New Roman" w:eastAsia="Times New Roman" w:cs="Times New Roman"/>
          <w:sz w:val="24"/>
          <w:szCs w:val="24"/>
          <w:lang w:val="bg-BG" w:eastAsia="bg-BG" w:bidi="bg-BG"/>
        </w:rPr>
      </w:pPr>
    </w:p>
    <w:p>
      <w:pPr>
        <w:pStyle w:val="17"/>
        <w:numPr>
          <w:ilvl w:val="0"/>
          <w:numId w:val="2"/>
        </w:numPr>
        <w:tabs>
          <w:tab w:val="left" w:pos="270"/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10.1. 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10.2. Декларацията по т. 10.1.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>
      <w:pPr>
        <w:pStyle w:val="17"/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ДЕЙНОСТИ  И СРОК НА ИЗПЪЛНЕНИЕ</w:t>
      </w:r>
    </w:p>
    <w:p>
      <w:pPr>
        <w:spacing w:after="0"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11.1. 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Закупуване на техника, оборудване, машини и съоръжения, необходими за провеждане на професионалната подготовка;</w:t>
      </w:r>
    </w:p>
    <w:p>
      <w:pPr>
        <w:pStyle w:val="17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 Оборудване на учебни кабинети по професионална подготовка с демонстрационни макети, тренажори, симулатори, вкл. мобилни модули и съоръжения, и други действащи образци на съвременни технически конструкции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Осигуряване на софтуерни продукти, съобразени с усвояването на знания и формирането на практически умения по изучаваната професия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; 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Ремонтиране на учебни кабинети за професионална подготовка и учебно-производствени бази на училищата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Осигуряване на работни места за всеки ученик по учебна практика и практика в реална работна среда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Не се допуска закупуване на: стопански инвентар (офис оборудване – маси, столове, шкафове);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компютри, принтери, скенери и др. периферни устройства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. 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11.2. Модул 2 „Модернизиране на учебно и изпитно съдържание“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разработване/актуализиране на типови учебни планове и учебни програми за професионална подготовка и Национални изпитни програми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Организиране на работни срещи за представяне и обсъждане на разработената учебна документация преди предоставянето на проектите на учебни планове, учебни програми, учебна документация за придобиване на правоспособност и национални изпитни програми в МОН, вкл. по време на обществените консултации. Работните срещи може да се организират присъствено, в онлайн среда или като събития в хибриден формат в зависимост от конкретните условия и възможности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. 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11.3. Модул 3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Организиране и провеждане на училищни, регионални, национални и международни кръгове на състезанията по професии,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в партньорство с: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национално представените организации на работодателите, както и техните регионални и браншови структури; фирми и предприятия; организации на работниците и служителите, висши училища, неправителствени организации, териториалните органи на изпълнителната администрация, други отговорни и заинтересовани институции и общественици; предприятия, банки или други институции, с които училищата са в традиционни договорни отношения, бизнесмени, предприемачи, печатни и електронни медии, училищни настоятелства и др. 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ДОПУСТИМИ РАЗХОДИ И ЕТАПИ НА ФИНАНСИРАНЕ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12.1. Допустими разходи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Максимална стойност на един проект – 100 000 лв.</w:t>
      </w:r>
      <w:r>
        <w:rPr>
          <w:rFonts w:ascii="Times New Roman" w:hAnsi="Times New Roman" w:cs="Times New Roman"/>
          <w:sz w:val="24"/>
          <w:szCs w:val="24"/>
          <w:lang w:val="bg-BG"/>
        </w:rPr>
        <w:t>, като в тази сума се включва и размерът на съфинансирането, който е не по-малък от 10% от общата стойност на проекта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Средствата за ремонтни дейности трябва да бъдат в по-малък размер от средствата за оборудване.</w:t>
      </w:r>
    </w:p>
    <w:p>
      <w:pPr>
        <w:keepNext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bookmarkStart w:id="1" w:name="bookmark8"/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„Модернизиране на учебното съдържание“</w:t>
      </w:r>
      <w:bookmarkEnd w:id="1"/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keepNext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Възнаграждения и дължимите върху тях осигурителни вноски за сметка на работодателя на лицата, пряко ангажирани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изпълнението на дейностите по изготвянето на учебна и изпитна документация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keepNext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Административни дейности в размер до 7% от стойността на финансирането на пакета документация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keepNext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Средства за дневни, пътни и нощувки за организиране на работни срещи при изготвянето на учебната документация и националните изпитни програми.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Допустимите разходи са за: материали, награди, информация и реклама, наем на оборудвано помещение за провеждане на състезанието, командировъчни разходи за членовете на националните комисии, разходи за нощувки, изхранване и пътни разходи за учениците, които подробно са посочени в Правилата за организиране и провеждане на ученически олимпиади и на националните състезания в държавните, в общинските, в частните училища и в чуждестранните училища на територията на Република България, както и в план-сметките за всяко състезание, одобрени от министъра на образованието и науката.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Министърът на образованието и науката може да извършва вътрешно - компенсирани промени по одобрените план-сметки за състезанията, при условие че средства за материали и командировки и др. не се прехвърлят за възнаграждения на учителите.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Допуска се прехвърляне на средства от план-сметката на едно състезание към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средствата на план-сметката на друго състезание.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Не се допуска училищата домакини на националните и регионалните кръгове на състезанията по професии да извършват трансфери към други училища, включително и на предоставените им средства за административни разходи.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12.2. Етапи на финансиране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Авансово плащане: </w:t>
      </w:r>
      <w:r>
        <w:rPr>
          <w:rFonts w:ascii="Times New Roman" w:hAnsi="Times New Roman" w:cs="Times New Roman"/>
          <w:sz w:val="24"/>
          <w:szCs w:val="24"/>
          <w:lang w:val="bg-BG"/>
        </w:rPr>
        <w:t>Министерството на образованието и науката предоставя 65 на сто от средствата, осигурявани от програмата.</w:t>
      </w:r>
    </w:p>
    <w:p>
      <w:pPr>
        <w:pStyle w:val="17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Окончателно плащане</w:t>
      </w:r>
      <w:r>
        <w:rPr>
          <w:rFonts w:hint="default" w:ascii="Times New Roman" w:hAnsi="Times New Roman" w:cs="Times New Roman"/>
          <w:sz w:val="24"/>
          <w:szCs w:val="24"/>
          <w:u w:val="single"/>
          <w:lang w:val="bg-BG"/>
        </w:rPr>
        <w:t>:</w:t>
      </w: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 xml:space="preserve"> 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В срок до 01.10.2024 г. училищата представят междинен отчет за изпълнение на дейностите, окончателен/окончателни договор/и с партньорите и искане за предоставяне на останалите 35 на сто от одобреното финансиране по програмата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spacing w:after="0"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 В срок до 15.10.2024 г. след проверка на окончателния/окончателните договор/и и получаване на междинни отчети за изпълнението на проектните дейности ръководителят на националната програма изготвя предложение до министъра на образованието и науката за предоставяне и на останалите 35 на сто от одобреното финансиране. В случай, че окончателният/окончателните договор/и не съответства/съответстват на предварителния/предварителните договор/и или не са спазени целите и дейностите по програмата, министерството не предоставя финансиране, а училището възстановява получения аванс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Забележка: В рамките на изпълнение на дейностите е допустимо прехвърляне на средства от един вид разходи към друг при спазване на изискването ремонтните дейности да бъдат на по-малка стойност от средствата за оборудване. Прехвърлянето на средства може да се осъществи след изпращане на аргументирано искане в Министерството на образованието и науката и получаване на писмено одобрение за осъществяването му.</w:t>
      </w:r>
    </w:p>
    <w:p>
      <w:pPr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„Модернизиране на учебното съдържание“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Пълният размер на финансирането се предоставя на училищата след утвърждаването на учебната и изпитната документация от министъра на образованието и науката в срок до 20.11.2024 г.</w:t>
      </w:r>
    </w:p>
    <w:p>
      <w:pPr>
        <w:pStyle w:val="17"/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срок до 14 дни след провеждането на регионалните и национални кръгове на</w:t>
      </w:r>
    </w:p>
    <w:p>
      <w:pPr>
        <w:pStyle w:val="17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състезанията училищата, определени за домакини, изпращат в МОН отчет за извършените разходи при спазване на допустимостта на разходите за всяко състезание. Отчетите на училищата се преглеждат от експерта от дирекция „Професионално образование и обучение“, отговарящ за съответното състезание и при одобрение се предлага възстановяване на разходваната сума. 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При мотивирано искане от страна на училищата-домакини  на националните кръгове на състезанията и одобрение от страна на МОН се допуска авансово предоставяне на средства в размер до 50% от утвърдената сума в план-сметката за съответното състезание.</w:t>
      </w:r>
    </w:p>
    <w:p>
      <w:pPr>
        <w:pStyle w:val="17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pStyle w:val="17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И РЕД ЗА КАНДИДАТСТВАНЕ</w:t>
      </w:r>
    </w:p>
    <w:p>
      <w:pP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Представяне на проектни предложения</w:t>
      </w:r>
    </w:p>
    <w:p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срок до 30 дни от датата на публикуване на формуляра за кандидатстване по модула училищата подават:</w:t>
      </w:r>
    </w:p>
    <w:p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Формуляр за кандидатстване;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Предварителен договор със стопанска организация/и, в който е налична следната информация: 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Предмет на дейност на стопанската организация, съответстващ на обхвата на професиите в училището; Стопанската организация/организации съфинансира/т дейностите по програмата и/или предоставя/т машини и оборудване на стойност не по-малка от 10% от общата стойност на проекта; Стопанската организация/организации осигурява/т в рамките на собствената си материална база практическо обучение на учениците за времето, съответстващо на изпълнението на дейности от програмата; Задължителна клауза, че всички материални активи остават в собственост на професионалната гимназия/училището; Осигурени са места за практическото обучение на конкретен брой ученици; График на заетите места за практическото обучение, съответстващ на изпълнението на дейностите по програмата; Стопанската организация е партньор само с кандидатстващата професионална гимназия/средното училище; Техническо описание на планираното за закупуване оборудване, което съдържа техническите параметри и възможности на оборудването; в свободен текст за устойчивост от директора на училището за намерение за продължаване на обучението по професията/професиите, за коя/ито е закупено оборудване по проекта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Копие на протокол или извлечение от протокол с решение на педагогическия съвет за кандидатстването на училището по програмата. Копието или извлечението от протокола да бъде подписано от секретаря на педагогическия съвет и директора на училището и подпечатано с печата на училището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Заповед на директора на училището за екип за реализиране на дейностите по проекта.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„Модернизиране на учебното и изпитното съдържание“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Представяне на проектни предложения</w:t>
      </w:r>
      <w:r>
        <w:rPr>
          <w:rFonts w:hint="default" w:ascii="Times New Roman" w:hAnsi="Times New Roman" w:cs="Times New Roman"/>
          <w:sz w:val="24"/>
          <w:szCs w:val="24"/>
          <w:u w:val="single"/>
          <w:lang w:val="bg-BG"/>
        </w:rPr>
        <w:t>: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 В срок до 30 дни от датата на публикуване на формуляра по модула на интернет страницата на МОН професионалните гимназии и средните училища с професионални паралелки подават формуляр за кандидатстване за участие в дейностите по модула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-Министърът на образованието и науката възлага организирането и разработването/актуализирането и/или изплащане на възнаграждението на екипите, разработили типови учебни планове, учебни програми и национални изпитни програми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Разработената учебна документация се представя в електронен формат на лицата за контакт в МОН в срок до 09.08.2024 г., а разработените национални изпитни програми – в срок до 30.09. 2024 г.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След публикуването на заповедта на министъра на образованието и науката с утвърден график за провеждане на националните състезания по професии, началникът на РУО определя със заповед училищата домакини за регионалните и за националните кръгове на националните състезания, съгласувано с МОН, дирекция „Професионално образование и обучение“( т.116 от сегашните Правила).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Регламентите на състезанията се публикуват в интернет-страницата на МОН не по-късно от два месеца от публикуването на графика за провеждането на състезанията.</w:t>
      </w:r>
    </w:p>
    <w:p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Състезанията се организират и провеждат в три кръга: училищен, регионален и национален от комисии по правила и условия, разписани в регламента на всяко състезание.</w:t>
      </w:r>
    </w:p>
    <w:p>
      <w:pPr>
        <w:pStyle w:val="17"/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ПРОЦЕДУРА ЗА РАЗГЛЕЖДАНЕ И ОДОБРЕНИЕ НА ПРОЕКТНИТЕ ПРЕДЛОЖЕНИЯ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срок до два месеца от крайния срок за подаване на проектните предложения експертна комисия разглежда, оценява и класира постъпилите проекти и представя на министъра на образованието и науката предложение за финансиране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 xml:space="preserve">. 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Списъкът с училищата с одобрени за финансиране проекти се публикува на електронната страница на МОН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Оценяването се извършва по следните критерии: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hint="default"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допустимост: спазване на всички изисквания, посочени в т. 13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Техническа оценка: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Съответствие на проектното предложение 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тенденциите в развитието на училището, измервано чрез показатели за съотношението на брой ученици, които ще ползват модернизираната материално-техническа база, спрямо общия брой ученици в училището, тенденциите в развитието на приема за последните три години и прием по нова професия за училището – до 40 точки;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Съотношение на брой осигурени места за практическо обучение в реални условия в рамките на предприятията, осигуряващи съфинансирането, спрямо общия брой на учениците, включени в проекта – до 30 точки;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Процент на съфинансиране – до 30 точки.</w:t>
      </w:r>
    </w:p>
    <w:p>
      <w:pPr>
        <w:pStyle w:val="17"/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tabs>
          <w:tab w:val="left" w:pos="360"/>
        </w:tabs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„Модернизиране на учебното съдържание“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срок до един месец от крайния срок за подаване на формуляра за кандидатстване по модула експертна комисия разглежда и оценява подадените предложения.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Комисията представя на министъра на образованието и науката предложение със списък на училищата, на които да бъде възложено разработването на учебната и изпитната документация.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Оценяването се извършва по следните критерии: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Опит на членовете на работната група при разработването на учебна документация – до 20 точки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;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Брой членове на работните групи за разработване на учебни програми, представители на висши училища, работодатели, работодателски организации – до 20 точки;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Брой членове на работните групи за разработване на учебната документация от сродни училища – до 20 точки;</w:t>
      </w:r>
    </w:p>
    <w:p>
      <w:pPr>
        <w:pStyle w:val="17"/>
        <w:numPr>
          <w:ilvl w:val="0"/>
          <w:numId w:val="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Организационен опит и капацитет за координация и реализация на готов продукт при разработване на учебната документация за специалностите от професиите от едно професионално направление от действащия Списък на професиите за професионално образование и обучение – до 30 точки</w:t>
      </w:r>
      <w:r>
        <w:rPr>
          <w:rFonts w:hint="default" w:ascii="Times New Roman" w:hAnsi="Times New Roman" w:cs="Times New Roman"/>
          <w:sz w:val="24"/>
          <w:szCs w:val="24"/>
          <w:lang w:val="bg-BG"/>
        </w:rPr>
        <w:t>.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>
      <w:pPr>
        <w:tabs>
          <w:tab w:val="left" w:pos="360"/>
        </w:tabs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3: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Училището-домакин на регионален или национален кръг на състезание се определя със съгласуване с експертите от дирекция „Професионално образование и обучение“ и  въз основа на Заповед на началника на РУО. Заповедта се издава след публикуване на интернет- страницата на МОН на заповедта на министъра на образованието и науката с утвърден график за провеждане на националните състезания по професии и Регламентите на състезанията по професии.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15. ОТЧИТАНЕ НА ПРОЕКТИТЕ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1 „Модернизиране на материално-техническата база“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pStyle w:val="17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Междинен отчет -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срок до 01.10. 2024 г. училищата представят в МОН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междинен отчет за изпълнението на проектните дейности, окончателен/окончателни договори с партньорите, справка за сключените договори за доставки и/или ремонти, разпределението по пера на получената сума като финансиране по националната програма  и искане за получаване на останалите 35 на сто от одобреното финансиране по програмата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u w:val="single"/>
          <w:lang w:val="bg-BG"/>
        </w:rPr>
        <w:t>Финален отчет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- в срок до една година от стартирането на проекта се представя писмен доклад до министъра на образованието и науката и доказателствен материал за изпълнението на дейностите по проекта. Всички закупени по проекта активи се заприходяват, като материалните активи следва да бъдат маркирани с цел идентифициране на закупуването им по националната програма</w:t>
      </w:r>
    </w:p>
    <w:p>
      <w:pPr>
        <w:tabs>
          <w:tab w:val="left" w:pos="360"/>
        </w:tabs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2 „Модернизиране на учебното съдържание“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Финалният отчет на дейностите по модула съдържа доклад с информация за разработената учебна и изпитна документация и/или искане за получаване на средства за финансиране на конкретната документация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>
      <w:pPr>
        <w:tabs>
          <w:tab w:val="left" w:pos="360"/>
        </w:tabs>
        <w:spacing w:after="0"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Модул 3 „Състезания по професии“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bg-BG"/>
        </w:rPr>
        <w:t xml:space="preserve"> :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Директорите на професионалните гимназии и училища изготвят и представят: </w:t>
      </w:r>
    </w:p>
    <w:p>
      <w:pPr>
        <w:pStyle w:val="17"/>
        <w:numPr>
          <w:ilvl w:val="0"/>
          <w:numId w:val="6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РУО – доклад за проведения училищен кръг на състезанията в тридневен срок от провеждането им;</w:t>
      </w:r>
    </w:p>
    <w:p>
      <w:pPr>
        <w:pStyle w:val="17"/>
        <w:numPr>
          <w:ilvl w:val="0"/>
          <w:numId w:val="6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дирекция ПОО на МОН – материали в електронен вид за  проведеното състезание (клипове, презентации, снимки, информация за участниците – брой, училища, учениците – състезатели и постиженията им, учителите – ръководители и участващи в професионалната им подготовка, класиране, награди, партньори, спонсори и др.). Информация за представянето на участниците и протичането на всяко регионално и национално състезание се публикува на интернет-страницата на училището домакин, на съответното РУО и на училището, в което се обучават участниците., като същите са публични до края на учебната година.</w:t>
      </w:r>
    </w:p>
    <w:p>
      <w:p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Ръководителите на националните отбори предоставят в МОН информация за представянето на учениците в междуна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bg-BG"/>
        </w:rPr>
        <w:t xml:space="preserve">родните състезания.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720" w:right="1417" w:bottom="720" w:left="1417" w:header="360" w:footer="123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5737601"/>
      <w:docPartObj>
        <w:docPartGallery w:val="AutoText"/>
      </w:docPartObj>
    </w:sdtPr>
    <w:sdtContent>
      <w:p>
        <w:pPr>
          <w:pStyle w:val="1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7E41BC"/>
    <w:multiLevelType w:val="multilevel"/>
    <w:tmpl w:val="0D7E41B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E154B7"/>
    <w:multiLevelType w:val="multilevel"/>
    <w:tmpl w:val="1AE154B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 w:tentative="0">
      <w:start w:val="3"/>
      <w:numFmt w:val="decimal"/>
      <w:isLgl/>
      <w:lvlText w:val="%1.%2."/>
      <w:lvlJc w:val="left"/>
      <w:pPr>
        <w:ind w:left="480" w:hanging="480"/>
      </w:pPr>
      <w:rPr>
        <w:rFonts w:hint="default"/>
        <w:color w:val="2E75B6" w:themeColor="accent5" w:themeShade="BF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8BA093E"/>
    <w:multiLevelType w:val="multilevel"/>
    <w:tmpl w:val="38BA093E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7607C7"/>
    <w:multiLevelType w:val="multilevel"/>
    <w:tmpl w:val="417607C7"/>
    <w:lvl w:ilvl="0" w:tentative="0">
      <w:start w:val="1"/>
      <w:numFmt w:val="decimal"/>
      <w:pStyle w:val="2"/>
      <w:lvlText w:val="%1."/>
      <w:lvlJc w:val="left"/>
      <w:pPr>
        <w:ind w:left="794" w:hanging="794"/>
      </w:pPr>
      <w:rPr>
        <w:rFonts w:hint="default" w:ascii="Times New Roman" w:hAnsi="Times New Roman"/>
        <w:b/>
        <w:i w:val="0"/>
        <w:caps/>
        <w:strike w:val="0"/>
        <w:dstrike w:val="0"/>
        <w:vanish w:val="0"/>
        <w:spacing w:val="0"/>
        <w:w w:val="100"/>
        <w:kern w:val="0"/>
        <w:sz w:val="24"/>
        <w:vertAlign w:val="baseline"/>
        <w14:cntxtalts w14:val="0"/>
      </w:rPr>
    </w:lvl>
    <w:lvl w:ilvl="1" w:tentative="0">
      <w:start w:val="1"/>
      <w:numFmt w:val="decimal"/>
      <w:pStyle w:val="3"/>
      <w:lvlText w:val="%1.%2."/>
      <w:lvlJc w:val="left"/>
      <w:pPr>
        <w:ind w:left="794" w:hanging="794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sz w:val="24"/>
        <w:vertAlign w:val="baseline"/>
      </w:rPr>
    </w:lvl>
    <w:lvl w:ilvl="2" w:tentative="0">
      <w:start w:val="1"/>
      <w:numFmt w:val="decimal"/>
      <w:pStyle w:val="4"/>
      <w:lvlText w:val="%1.%2.%3."/>
      <w:lvlJc w:val="left"/>
      <w:pPr>
        <w:ind w:left="794" w:hanging="794"/>
      </w:pPr>
      <w:rPr>
        <w:rFonts w:hint="default" w:ascii="Times New Roman" w:hAnsi="Times New Roman"/>
        <w:b/>
        <w:i w:val="0"/>
        <w:caps w:val="0"/>
        <w:strike w:val="0"/>
        <w:dstrike w:val="0"/>
        <w:vanish w:val="0"/>
        <w:sz w:val="24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ind w:left="794" w:hanging="794"/>
      </w:pPr>
      <w:rPr>
        <w:rFonts w:hint="default"/>
        <w:b/>
        <w:i w:val="0"/>
        <w:sz w:val="24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6856FE3"/>
    <w:multiLevelType w:val="multilevel"/>
    <w:tmpl w:val="56856FE3"/>
    <w:lvl w:ilvl="0" w:tentative="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5193768"/>
    <w:multiLevelType w:val="multilevel"/>
    <w:tmpl w:val="65193768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E0"/>
    <w:rsid w:val="00027ED9"/>
    <w:rsid w:val="00045B31"/>
    <w:rsid w:val="000470FA"/>
    <w:rsid w:val="00055140"/>
    <w:rsid w:val="00071158"/>
    <w:rsid w:val="000F7F4F"/>
    <w:rsid w:val="00100386"/>
    <w:rsid w:val="00127FD8"/>
    <w:rsid w:val="00136F92"/>
    <w:rsid w:val="00145C34"/>
    <w:rsid w:val="001471E0"/>
    <w:rsid w:val="001631EE"/>
    <w:rsid w:val="00173CC0"/>
    <w:rsid w:val="001A198B"/>
    <w:rsid w:val="001C07A1"/>
    <w:rsid w:val="001C327A"/>
    <w:rsid w:val="001C6C83"/>
    <w:rsid w:val="00244FFA"/>
    <w:rsid w:val="002607A9"/>
    <w:rsid w:val="002708D1"/>
    <w:rsid w:val="00286AD8"/>
    <w:rsid w:val="002913AD"/>
    <w:rsid w:val="0029664D"/>
    <w:rsid w:val="002D6AB4"/>
    <w:rsid w:val="002F3323"/>
    <w:rsid w:val="0033122A"/>
    <w:rsid w:val="00347656"/>
    <w:rsid w:val="00366218"/>
    <w:rsid w:val="003908C5"/>
    <w:rsid w:val="00393F5F"/>
    <w:rsid w:val="003A404F"/>
    <w:rsid w:val="003D05BF"/>
    <w:rsid w:val="003E3FE3"/>
    <w:rsid w:val="003E7F28"/>
    <w:rsid w:val="003F18D3"/>
    <w:rsid w:val="004026FE"/>
    <w:rsid w:val="00415C9B"/>
    <w:rsid w:val="00430E02"/>
    <w:rsid w:val="004310B1"/>
    <w:rsid w:val="004403FE"/>
    <w:rsid w:val="00441375"/>
    <w:rsid w:val="00446275"/>
    <w:rsid w:val="004476E4"/>
    <w:rsid w:val="0045610C"/>
    <w:rsid w:val="0046126F"/>
    <w:rsid w:val="00464BCC"/>
    <w:rsid w:val="004743C3"/>
    <w:rsid w:val="0048257D"/>
    <w:rsid w:val="0049064D"/>
    <w:rsid w:val="00491439"/>
    <w:rsid w:val="004930BD"/>
    <w:rsid w:val="0049453E"/>
    <w:rsid w:val="004A2703"/>
    <w:rsid w:val="004A6526"/>
    <w:rsid w:val="004B7856"/>
    <w:rsid w:val="004C3A99"/>
    <w:rsid w:val="004C5B70"/>
    <w:rsid w:val="004D40AF"/>
    <w:rsid w:val="004D51A6"/>
    <w:rsid w:val="004E270C"/>
    <w:rsid w:val="004E6EDE"/>
    <w:rsid w:val="004F533B"/>
    <w:rsid w:val="00536D3B"/>
    <w:rsid w:val="005547E1"/>
    <w:rsid w:val="005701EE"/>
    <w:rsid w:val="005C69AB"/>
    <w:rsid w:val="005E1422"/>
    <w:rsid w:val="005E4EB1"/>
    <w:rsid w:val="0060759D"/>
    <w:rsid w:val="0060764F"/>
    <w:rsid w:val="00617DC9"/>
    <w:rsid w:val="0062364B"/>
    <w:rsid w:val="006264AB"/>
    <w:rsid w:val="00627B0D"/>
    <w:rsid w:val="006340AF"/>
    <w:rsid w:val="00642A90"/>
    <w:rsid w:val="00654AE7"/>
    <w:rsid w:val="00665CFB"/>
    <w:rsid w:val="006679FE"/>
    <w:rsid w:val="006723AA"/>
    <w:rsid w:val="00672602"/>
    <w:rsid w:val="006A5155"/>
    <w:rsid w:val="006A536F"/>
    <w:rsid w:val="006C244E"/>
    <w:rsid w:val="006D189B"/>
    <w:rsid w:val="006D534D"/>
    <w:rsid w:val="006F11C9"/>
    <w:rsid w:val="00702D09"/>
    <w:rsid w:val="0072104A"/>
    <w:rsid w:val="00731622"/>
    <w:rsid w:val="00736BE6"/>
    <w:rsid w:val="00773ACF"/>
    <w:rsid w:val="007779DA"/>
    <w:rsid w:val="007824FE"/>
    <w:rsid w:val="00785EAC"/>
    <w:rsid w:val="007A066C"/>
    <w:rsid w:val="007E0528"/>
    <w:rsid w:val="007F14EF"/>
    <w:rsid w:val="00805A02"/>
    <w:rsid w:val="008233AC"/>
    <w:rsid w:val="0082358A"/>
    <w:rsid w:val="00833EAD"/>
    <w:rsid w:val="0084295B"/>
    <w:rsid w:val="00873DB3"/>
    <w:rsid w:val="008949EC"/>
    <w:rsid w:val="00895A67"/>
    <w:rsid w:val="008C2D53"/>
    <w:rsid w:val="008C3CE4"/>
    <w:rsid w:val="008D6D5B"/>
    <w:rsid w:val="008F05D1"/>
    <w:rsid w:val="008F712C"/>
    <w:rsid w:val="009133CF"/>
    <w:rsid w:val="00920C67"/>
    <w:rsid w:val="00971419"/>
    <w:rsid w:val="00985A95"/>
    <w:rsid w:val="00987856"/>
    <w:rsid w:val="009B3589"/>
    <w:rsid w:val="009E44D9"/>
    <w:rsid w:val="00A01E9C"/>
    <w:rsid w:val="00A04880"/>
    <w:rsid w:val="00A2254D"/>
    <w:rsid w:val="00A46D58"/>
    <w:rsid w:val="00A5103C"/>
    <w:rsid w:val="00A517BF"/>
    <w:rsid w:val="00A565C6"/>
    <w:rsid w:val="00A5729D"/>
    <w:rsid w:val="00A83F74"/>
    <w:rsid w:val="00AA32A5"/>
    <w:rsid w:val="00AB2475"/>
    <w:rsid w:val="00AD1990"/>
    <w:rsid w:val="00AD6098"/>
    <w:rsid w:val="00AE1F8F"/>
    <w:rsid w:val="00B02DC2"/>
    <w:rsid w:val="00B02E5E"/>
    <w:rsid w:val="00B12990"/>
    <w:rsid w:val="00B16C5B"/>
    <w:rsid w:val="00B20FA1"/>
    <w:rsid w:val="00B87742"/>
    <w:rsid w:val="00B90043"/>
    <w:rsid w:val="00BA30B0"/>
    <w:rsid w:val="00BB5548"/>
    <w:rsid w:val="00BC20FC"/>
    <w:rsid w:val="00BD0228"/>
    <w:rsid w:val="00BF49CC"/>
    <w:rsid w:val="00BF4CF7"/>
    <w:rsid w:val="00C0761F"/>
    <w:rsid w:val="00C150D1"/>
    <w:rsid w:val="00C323D7"/>
    <w:rsid w:val="00C41011"/>
    <w:rsid w:val="00C526C7"/>
    <w:rsid w:val="00C602DE"/>
    <w:rsid w:val="00C617F3"/>
    <w:rsid w:val="00C91497"/>
    <w:rsid w:val="00C96945"/>
    <w:rsid w:val="00CB4541"/>
    <w:rsid w:val="00CC5CEF"/>
    <w:rsid w:val="00CD658A"/>
    <w:rsid w:val="00CE647E"/>
    <w:rsid w:val="00D103EC"/>
    <w:rsid w:val="00D16A05"/>
    <w:rsid w:val="00D2195B"/>
    <w:rsid w:val="00D21F6C"/>
    <w:rsid w:val="00D24201"/>
    <w:rsid w:val="00D5018B"/>
    <w:rsid w:val="00D51BF9"/>
    <w:rsid w:val="00D766DC"/>
    <w:rsid w:val="00D87BE0"/>
    <w:rsid w:val="00D927B8"/>
    <w:rsid w:val="00DA6CBE"/>
    <w:rsid w:val="00DD4CC8"/>
    <w:rsid w:val="00DD6713"/>
    <w:rsid w:val="00DD6894"/>
    <w:rsid w:val="00DE357D"/>
    <w:rsid w:val="00DF5875"/>
    <w:rsid w:val="00E15119"/>
    <w:rsid w:val="00E27C28"/>
    <w:rsid w:val="00E74072"/>
    <w:rsid w:val="00E865E3"/>
    <w:rsid w:val="00EA52EC"/>
    <w:rsid w:val="00EC4A88"/>
    <w:rsid w:val="00ED4A07"/>
    <w:rsid w:val="00F045E6"/>
    <w:rsid w:val="00F327DF"/>
    <w:rsid w:val="00F350E9"/>
    <w:rsid w:val="00F6106F"/>
    <w:rsid w:val="00F67237"/>
    <w:rsid w:val="00F74A69"/>
    <w:rsid w:val="00FC0B5B"/>
    <w:rsid w:val="00FC7987"/>
    <w:rsid w:val="00FE03E1"/>
    <w:rsid w:val="00FF04C8"/>
    <w:rsid w:val="6BE8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numPr>
        <w:ilvl w:val="0"/>
        <w:numId w:val="1"/>
      </w:numPr>
      <w:spacing w:after="0" w:line="360" w:lineRule="auto"/>
      <w:jc w:val="both"/>
      <w:outlineLvl w:val="0"/>
    </w:pPr>
    <w:rPr>
      <w:rFonts w:ascii="Times New Roman" w:hAnsi="Times New Roman" w:eastAsiaTheme="majorEastAsia" w:cstheme="majorBidi"/>
      <w:b/>
      <w:caps/>
      <w:sz w:val="24"/>
      <w:szCs w:val="32"/>
      <w:lang w:val="bg-BG" w:eastAsia="bg-BG" w:bidi="bg-BG"/>
    </w:rPr>
  </w:style>
  <w:style w:type="paragraph" w:styleId="3">
    <w:name w:val="heading 2"/>
    <w:basedOn w:val="1"/>
    <w:next w:val="1"/>
    <w:link w:val="19"/>
    <w:unhideWhenUsed/>
    <w:qFormat/>
    <w:uiPriority w:val="9"/>
    <w:pPr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hAnsi="Times New Roman" w:eastAsiaTheme="majorEastAsia" w:cstheme="majorBidi"/>
      <w:sz w:val="24"/>
      <w:szCs w:val="26"/>
      <w:lang w:val="bg-BG" w:eastAsia="bg-BG" w:bidi="bg-BG"/>
    </w:rPr>
  </w:style>
  <w:style w:type="paragraph" w:styleId="4">
    <w:name w:val="heading 3"/>
    <w:basedOn w:val="1"/>
    <w:next w:val="1"/>
    <w:link w:val="20"/>
    <w:unhideWhenUsed/>
    <w:qFormat/>
    <w:uiPriority w:val="9"/>
    <w:pPr>
      <w:numPr>
        <w:ilvl w:val="2"/>
        <w:numId w:val="1"/>
      </w:numPr>
      <w:spacing w:after="0" w:line="360" w:lineRule="auto"/>
      <w:jc w:val="both"/>
      <w:outlineLvl w:val="2"/>
    </w:pPr>
    <w:rPr>
      <w:rFonts w:ascii="Times New Roman" w:hAnsi="Times New Roman" w:eastAsiaTheme="majorEastAsia" w:cstheme="majorBidi"/>
      <w:sz w:val="24"/>
      <w:szCs w:val="24"/>
      <w:lang w:val="bg-BG" w:eastAsia="bg-BG" w:bidi="bg-BG"/>
    </w:rPr>
  </w:style>
  <w:style w:type="paragraph" w:styleId="5">
    <w:name w:val="heading 4"/>
    <w:basedOn w:val="1"/>
    <w:next w:val="1"/>
    <w:link w:val="21"/>
    <w:unhideWhenUsed/>
    <w:qFormat/>
    <w:uiPriority w:val="9"/>
    <w:pPr>
      <w:numPr>
        <w:ilvl w:val="3"/>
        <w:numId w:val="1"/>
      </w:numPr>
      <w:spacing w:after="0" w:line="360" w:lineRule="auto"/>
      <w:jc w:val="both"/>
      <w:outlineLvl w:val="3"/>
    </w:pPr>
    <w:rPr>
      <w:rFonts w:ascii="Times New Roman" w:hAnsi="Times New Roman" w:eastAsiaTheme="majorEastAsia" w:cstheme="majorBidi"/>
      <w:iCs/>
      <w:sz w:val="24"/>
      <w:szCs w:val="24"/>
      <w:lang w:val="bg-BG" w:eastAsia="bg-BG" w:bidi="bg-BG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basedOn w:val="6"/>
    <w:semiHidden/>
    <w:unhideWhenUsed/>
    <w:qFormat/>
    <w:uiPriority w:val="99"/>
    <w:rPr>
      <w:sz w:val="16"/>
      <w:szCs w:val="16"/>
    </w:rPr>
  </w:style>
  <w:style w:type="paragraph" w:styleId="9">
    <w:name w:val="annotation text"/>
    <w:basedOn w:val="1"/>
    <w:link w:val="22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0">
    <w:name w:val="annotation subject"/>
    <w:basedOn w:val="9"/>
    <w:next w:val="9"/>
    <w:link w:val="23"/>
    <w:semiHidden/>
    <w:unhideWhenUsed/>
    <w:uiPriority w:val="99"/>
    <w:rPr>
      <w:b/>
      <w:bCs/>
    </w:rPr>
  </w:style>
  <w:style w:type="paragraph" w:styleId="11">
    <w:name w:val="footer"/>
    <w:basedOn w:val="1"/>
    <w:link w:val="14"/>
    <w:unhideWhenUsed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12">
    <w:name w:val="header"/>
    <w:basedOn w:val="1"/>
    <w:link w:val="13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13">
    <w:name w:val="Header Char"/>
    <w:basedOn w:val="6"/>
    <w:link w:val="12"/>
    <w:qFormat/>
    <w:uiPriority w:val="99"/>
  </w:style>
  <w:style w:type="character" w:customStyle="1" w:styleId="14">
    <w:name w:val="Footer Char"/>
    <w:basedOn w:val="6"/>
    <w:link w:val="11"/>
    <w:qFormat/>
    <w:uiPriority w:val="99"/>
  </w:style>
  <w:style w:type="character" w:customStyle="1" w:styleId="15">
    <w:name w:val="Основен текст_"/>
    <w:basedOn w:val="6"/>
    <w:link w:val="16"/>
    <w:qFormat/>
    <w:uiPriority w:val="0"/>
    <w:rPr>
      <w:rFonts w:ascii="Times New Roman" w:hAnsi="Times New Roman" w:eastAsia="Times New Roman" w:cs="Times New Roman"/>
    </w:rPr>
  </w:style>
  <w:style w:type="paragraph" w:customStyle="1" w:styleId="16">
    <w:name w:val="Основен текст1"/>
    <w:basedOn w:val="1"/>
    <w:link w:val="15"/>
    <w:qFormat/>
    <w:uiPriority w:val="0"/>
    <w:pPr>
      <w:widowControl w:val="0"/>
      <w:spacing w:after="100" w:line="240" w:lineRule="auto"/>
      <w:ind w:firstLine="400"/>
    </w:pPr>
    <w:rPr>
      <w:rFonts w:ascii="Times New Roman" w:hAnsi="Times New Roman" w:eastAsia="Times New Roman" w:cs="Times New Roman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character" w:customStyle="1" w:styleId="18">
    <w:name w:val="Heading 1 Char"/>
    <w:basedOn w:val="6"/>
    <w:link w:val="2"/>
    <w:qFormat/>
    <w:uiPriority w:val="9"/>
    <w:rPr>
      <w:rFonts w:ascii="Times New Roman" w:hAnsi="Times New Roman" w:eastAsiaTheme="majorEastAsia" w:cstheme="majorBidi"/>
      <w:b/>
      <w:caps/>
      <w:sz w:val="24"/>
      <w:szCs w:val="32"/>
      <w:lang w:val="bg-BG" w:eastAsia="bg-BG" w:bidi="bg-BG"/>
    </w:rPr>
  </w:style>
  <w:style w:type="character" w:customStyle="1" w:styleId="19">
    <w:name w:val="Heading 2 Char"/>
    <w:basedOn w:val="6"/>
    <w:link w:val="3"/>
    <w:uiPriority w:val="9"/>
    <w:rPr>
      <w:rFonts w:ascii="Times New Roman" w:hAnsi="Times New Roman" w:eastAsiaTheme="majorEastAsia" w:cstheme="majorBidi"/>
      <w:sz w:val="24"/>
      <w:szCs w:val="26"/>
      <w:lang w:val="bg-BG" w:eastAsia="bg-BG" w:bidi="bg-BG"/>
    </w:rPr>
  </w:style>
  <w:style w:type="character" w:customStyle="1" w:styleId="20">
    <w:name w:val="Heading 3 Char"/>
    <w:basedOn w:val="6"/>
    <w:link w:val="4"/>
    <w:qFormat/>
    <w:uiPriority w:val="9"/>
    <w:rPr>
      <w:rFonts w:ascii="Times New Roman" w:hAnsi="Times New Roman" w:eastAsiaTheme="majorEastAsia" w:cstheme="majorBidi"/>
      <w:sz w:val="24"/>
      <w:szCs w:val="24"/>
      <w:lang w:val="bg-BG" w:eastAsia="bg-BG" w:bidi="bg-BG"/>
    </w:rPr>
  </w:style>
  <w:style w:type="character" w:customStyle="1" w:styleId="21">
    <w:name w:val="Heading 4 Char"/>
    <w:basedOn w:val="6"/>
    <w:link w:val="5"/>
    <w:uiPriority w:val="9"/>
    <w:rPr>
      <w:rFonts w:ascii="Times New Roman" w:hAnsi="Times New Roman" w:eastAsiaTheme="majorEastAsia" w:cstheme="majorBidi"/>
      <w:iCs/>
      <w:sz w:val="24"/>
      <w:szCs w:val="24"/>
      <w:lang w:val="bg-BG" w:eastAsia="bg-BG" w:bidi="bg-BG"/>
    </w:rPr>
  </w:style>
  <w:style w:type="character" w:customStyle="1" w:styleId="22">
    <w:name w:val="Comment Text Char"/>
    <w:basedOn w:val="6"/>
    <w:link w:val="9"/>
    <w:semiHidden/>
    <w:qFormat/>
    <w:uiPriority w:val="99"/>
    <w:rPr>
      <w:sz w:val="20"/>
      <w:szCs w:val="20"/>
    </w:rPr>
  </w:style>
  <w:style w:type="character" w:customStyle="1" w:styleId="23">
    <w:name w:val="Comment Subject Char"/>
    <w:basedOn w:val="22"/>
    <w:link w:val="10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294-8CC6-41B6-AA12-8FA1E51E5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3168</Words>
  <Characters>18064</Characters>
  <Lines>150</Lines>
  <Paragraphs>42</Paragraphs>
  <TotalTime>24</TotalTime>
  <ScaleCrop>false</ScaleCrop>
  <LinksUpToDate>false</LinksUpToDate>
  <CharactersWithSpaces>21190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2024-02-07T11:42:00Z</dcterms:created>
  <dc:creator>Martina Kehayova</dc:creator>
  <cp:lastModifiedBy>User</cp:lastModifiedBy>
  <cp:lastPrinted>2024-01-18T11:06:00Z</cp:lastPrinted>
  <dcterms:modified xsi:type="dcterms:W3CDTF">2024-03-05T11:03:13Z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0F756838BBC7480DA3AEAE94CA1485F7_13</vt:lpwstr>
  </property>
</Properties>
</file>